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21" w:rsidRPr="00B61DF5" w:rsidRDefault="00446921" w:rsidP="00446921">
      <w:pPr>
        <w:rPr>
          <w:rFonts w:ascii="Times New Roman" w:eastAsia="標楷體" w:hAnsi="Times New Roman" w:cs="Times New Roman"/>
          <w:sz w:val="72"/>
          <w:szCs w:val="72"/>
        </w:rPr>
      </w:pPr>
      <w:bookmarkStart w:id="0" w:name="_GoBack"/>
      <w:bookmarkEnd w:id="0"/>
    </w:p>
    <w:p w:rsidR="00446921" w:rsidRPr="00B61DF5" w:rsidRDefault="00446921" w:rsidP="00446921">
      <w:pPr>
        <w:rPr>
          <w:rFonts w:ascii="Times New Roman" w:eastAsia="標楷體" w:hAnsi="Times New Roman" w:cs="Times New Roman"/>
          <w:sz w:val="72"/>
          <w:szCs w:val="72"/>
        </w:rPr>
      </w:pPr>
    </w:p>
    <w:p w:rsidR="00446921" w:rsidRPr="00B61DF5" w:rsidRDefault="00446921" w:rsidP="00446921">
      <w:pPr>
        <w:rPr>
          <w:rFonts w:ascii="Times New Roman" w:eastAsia="標楷體" w:hAnsi="Times New Roman" w:cs="Times New Roman"/>
          <w:sz w:val="72"/>
          <w:szCs w:val="72"/>
        </w:rPr>
      </w:pPr>
    </w:p>
    <w:p w:rsidR="00446921" w:rsidRPr="00B61DF5" w:rsidRDefault="00446921" w:rsidP="00446921">
      <w:pPr>
        <w:rPr>
          <w:rFonts w:ascii="Times New Roman" w:eastAsia="標楷體" w:hAnsi="Times New Roman" w:cs="Times New Roman"/>
          <w:sz w:val="72"/>
          <w:szCs w:val="72"/>
        </w:rPr>
      </w:pPr>
    </w:p>
    <w:p w:rsidR="00446921" w:rsidRPr="00B61DF5" w:rsidRDefault="00446921" w:rsidP="00446921">
      <w:pPr>
        <w:rPr>
          <w:rFonts w:ascii="Times New Roman" w:eastAsia="標楷體" w:hAnsi="Times New Roman" w:cs="Times New Roman"/>
          <w:sz w:val="72"/>
          <w:szCs w:val="72"/>
        </w:rPr>
      </w:pPr>
    </w:p>
    <w:p w:rsidR="00446921" w:rsidRPr="00B61DF5" w:rsidRDefault="00446921" w:rsidP="00446921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B61DF5">
        <w:rPr>
          <w:rFonts w:ascii="Times New Roman" w:eastAsia="標楷體" w:hAnsi="Times New Roman" w:cs="Times New Roman"/>
          <w:sz w:val="72"/>
          <w:szCs w:val="72"/>
        </w:rPr>
        <w:t>恆立能源股份有限公司</w:t>
      </w:r>
    </w:p>
    <w:p w:rsidR="00446921" w:rsidRPr="00B61DF5" w:rsidRDefault="00446921" w:rsidP="00446921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>
        <w:rPr>
          <w:rFonts w:ascii="Times New Roman" w:eastAsia="標楷體" w:hAnsi="Times New Roman" w:cs="Times New Roman"/>
          <w:sz w:val="72"/>
          <w:szCs w:val="72"/>
        </w:rPr>
        <w:t>簡明月報</w:t>
      </w:r>
    </w:p>
    <w:p w:rsidR="00446921" w:rsidRPr="00B61DF5" w:rsidRDefault="00446921" w:rsidP="00446921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46921" w:rsidRPr="00B61DF5" w:rsidRDefault="00446921" w:rsidP="00446921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46921" w:rsidRPr="00B61DF5" w:rsidRDefault="00446921" w:rsidP="00446921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46921" w:rsidRPr="00B61DF5" w:rsidRDefault="00446921" w:rsidP="00446921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46921" w:rsidRPr="00B61DF5" w:rsidRDefault="00446921" w:rsidP="00446921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B61DF5">
        <w:rPr>
          <w:rFonts w:ascii="Times New Roman" w:eastAsia="標楷體" w:hAnsi="Times New Roman" w:cs="Times New Roman"/>
          <w:sz w:val="52"/>
          <w:szCs w:val="52"/>
        </w:rPr>
        <w:t>民國</w:t>
      </w:r>
      <w:r w:rsidRPr="00B61DF5">
        <w:rPr>
          <w:rFonts w:ascii="Times New Roman" w:eastAsia="標楷體" w:hAnsi="Times New Roman" w:cs="Times New Roman"/>
          <w:sz w:val="52"/>
          <w:szCs w:val="52"/>
        </w:rPr>
        <w:t>113</w:t>
      </w:r>
      <w:r w:rsidRPr="00B61DF5">
        <w:rPr>
          <w:rFonts w:ascii="Times New Roman" w:eastAsia="標楷體" w:hAnsi="Times New Roman" w:cs="Times New Roman"/>
          <w:sz w:val="52"/>
          <w:szCs w:val="52"/>
        </w:rPr>
        <w:t>年</w:t>
      </w:r>
      <w:r>
        <w:rPr>
          <w:rFonts w:ascii="Times New Roman" w:eastAsia="標楷體" w:hAnsi="Times New Roman" w:cs="Times New Roman"/>
          <w:sz w:val="52"/>
          <w:szCs w:val="52"/>
        </w:rPr>
        <w:t>1</w:t>
      </w:r>
      <w:r w:rsidR="00E06615">
        <w:rPr>
          <w:rFonts w:ascii="Times New Roman" w:eastAsia="標楷體" w:hAnsi="Times New Roman" w:cs="Times New Roman"/>
          <w:sz w:val="52"/>
          <w:szCs w:val="52"/>
        </w:rPr>
        <w:t>1</w:t>
      </w:r>
      <w:r w:rsidRPr="00B61DF5">
        <w:rPr>
          <w:rFonts w:ascii="Times New Roman" w:eastAsia="標楷體" w:hAnsi="Times New Roman" w:cs="Times New Roman"/>
          <w:sz w:val="52"/>
          <w:szCs w:val="52"/>
        </w:rPr>
        <w:t>月</w:t>
      </w:r>
    </w:p>
    <w:p w:rsidR="00446921" w:rsidRDefault="00446921" w:rsidP="00446921">
      <w:pPr>
        <w:widowControl/>
        <w:jc w:val="center"/>
        <w:rPr>
          <w:rFonts w:ascii="標楷體" w:eastAsia="標楷體" w:hAnsi="標楷體"/>
          <w:sz w:val="52"/>
          <w:szCs w:val="32"/>
        </w:rPr>
      </w:pPr>
    </w:p>
    <w:p w:rsidR="00446921" w:rsidRDefault="00446921">
      <w:pPr>
        <w:widowControl/>
        <w:rPr>
          <w:rFonts w:ascii="標楷體" w:eastAsia="標楷體" w:hAnsi="標楷體"/>
          <w:sz w:val="52"/>
          <w:szCs w:val="32"/>
        </w:rPr>
      </w:pPr>
      <w:r>
        <w:rPr>
          <w:rFonts w:ascii="標楷體" w:eastAsia="標楷體" w:hAnsi="標楷體"/>
          <w:sz w:val="52"/>
          <w:szCs w:val="32"/>
        </w:rPr>
        <w:br w:type="page"/>
      </w:r>
    </w:p>
    <w:p w:rsidR="00446921" w:rsidRPr="00446921" w:rsidRDefault="00446921" w:rsidP="00446921">
      <w:pPr>
        <w:widowControl/>
        <w:jc w:val="center"/>
        <w:rPr>
          <w:rFonts w:ascii="標楷體" w:eastAsia="標楷體" w:hAnsi="標楷體"/>
          <w:sz w:val="52"/>
          <w:szCs w:val="32"/>
        </w:rPr>
      </w:pPr>
      <w:r w:rsidRPr="00446921">
        <w:rPr>
          <w:rFonts w:ascii="標楷體" w:eastAsia="標楷體" w:hAnsi="標楷體"/>
          <w:sz w:val="52"/>
          <w:szCs w:val="32"/>
        </w:rPr>
        <w:lastRenderedPageBreak/>
        <w:t>目錄</w:t>
      </w:r>
    </w:p>
    <w:p w:rsidR="00F83E4D" w:rsidRDefault="00F83E4D">
      <w:pPr>
        <w:pStyle w:val="1"/>
        <w:tabs>
          <w:tab w:val="left" w:pos="960"/>
          <w:tab w:val="right" w:leader="dot" w:pos="10456"/>
        </w:tabs>
        <w:rPr>
          <w:rFonts w:eastAsiaTheme="minorEastAsia"/>
          <w:b w:val="0"/>
          <w:noProof/>
          <w:sz w:val="24"/>
        </w:rPr>
      </w:pPr>
      <w:r>
        <w:rPr>
          <w:rFonts w:ascii="標楷體" w:hAnsi="標楷體"/>
          <w:b w:val="0"/>
          <w:szCs w:val="32"/>
        </w:rPr>
        <w:fldChar w:fldCharType="begin"/>
      </w:r>
      <w:r>
        <w:rPr>
          <w:rFonts w:ascii="標楷體" w:hAnsi="標楷體"/>
          <w:b w:val="0"/>
          <w:szCs w:val="32"/>
        </w:rPr>
        <w:instrText xml:space="preserve"> TOC \o "1-3" \h \z \u </w:instrText>
      </w:r>
      <w:r>
        <w:rPr>
          <w:rFonts w:ascii="標楷體" w:hAnsi="標楷體"/>
          <w:b w:val="0"/>
          <w:szCs w:val="32"/>
        </w:rPr>
        <w:fldChar w:fldCharType="separate"/>
      </w:r>
      <w:hyperlink w:anchor="_Toc181695307" w:history="1">
        <w:r w:rsidRPr="00F465FB">
          <w:rPr>
            <w:rStyle w:val="a8"/>
            <w:rFonts w:ascii="標楷體" w:hAnsi="標楷體" w:hint="eastAsia"/>
            <w:noProof/>
          </w:rPr>
          <w:t>一、</w:t>
        </w:r>
        <w:r>
          <w:rPr>
            <w:rFonts w:eastAsiaTheme="minorEastAsia"/>
            <w:b w:val="0"/>
            <w:noProof/>
            <w:sz w:val="24"/>
          </w:rPr>
          <w:tab/>
        </w:r>
        <w:r w:rsidRPr="00F465FB">
          <w:rPr>
            <w:rStyle w:val="a8"/>
            <w:rFonts w:ascii="標楷體" w:hAnsi="標楷體" w:hint="eastAsia"/>
            <w:noProof/>
          </w:rPr>
          <w:t>營運綜合摘要分析報告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_Toc181695307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3E4D" w:rsidRDefault="008D4F22">
      <w:pPr>
        <w:pStyle w:val="2"/>
        <w:tabs>
          <w:tab w:val="left" w:pos="1200"/>
          <w:tab w:val="right" w:leader="dot" w:pos="10456"/>
        </w:tabs>
        <w:rPr>
          <w:rFonts w:eastAsiaTheme="minorEastAsia"/>
          <w:noProof/>
          <w:sz w:val="24"/>
        </w:rPr>
      </w:pPr>
      <w:hyperlink w:anchor="_Toc181695308" w:history="1">
        <w:r w:rsidR="00F83E4D" w:rsidRPr="00F465FB">
          <w:rPr>
            <w:rStyle w:val="a8"/>
            <w:rFonts w:ascii="標楷體" w:hAnsi="標楷體"/>
            <w:noProof/>
          </w:rPr>
          <w:t>1.</w:t>
        </w:r>
        <w:r w:rsidR="00F83E4D">
          <w:rPr>
            <w:rFonts w:eastAsiaTheme="minorEastAsia"/>
            <w:noProof/>
            <w:sz w:val="24"/>
          </w:rPr>
          <w:tab/>
        </w:r>
        <w:r w:rsidR="00F83E4D" w:rsidRPr="00F465FB">
          <w:rPr>
            <w:rStyle w:val="a8"/>
            <w:rFonts w:ascii="標楷體" w:hAnsi="標楷體" w:hint="eastAsia"/>
            <w:noProof/>
          </w:rPr>
          <w:t>公司簡介</w:t>
        </w:r>
        <w:r w:rsidR="00F83E4D">
          <w:rPr>
            <w:noProof/>
            <w:webHidden/>
          </w:rPr>
          <w:tab/>
        </w:r>
        <w:r w:rsidR="00F83E4D">
          <w:rPr>
            <w:noProof/>
            <w:webHidden/>
          </w:rPr>
          <w:fldChar w:fldCharType="begin"/>
        </w:r>
        <w:r w:rsidR="00F83E4D">
          <w:rPr>
            <w:noProof/>
            <w:webHidden/>
          </w:rPr>
          <w:instrText xml:space="preserve"> PAGEREF _Toc181695308 \h </w:instrText>
        </w:r>
        <w:r w:rsidR="00F83E4D">
          <w:rPr>
            <w:noProof/>
            <w:webHidden/>
          </w:rPr>
        </w:r>
        <w:r w:rsidR="00F83E4D">
          <w:rPr>
            <w:noProof/>
            <w:webHidden/>
          </w:rPr>
          <w:fldChar w:fldCharType="separate"/>
        </w:r>
        <w:r w:rsidR="00F83E4D">
          <w:rPr>
            <w:noProof/>
            <w:webHidden/>
          </w:rPr>
          <w:t>3</w:t>
        </w:r>
        <w:r w:rsidR="00F83E4D">
          <w:rPr>
            <w:noProof/>
            <w:webHidden/>
          </w:rPr>
          <w:fldChar w:fldCharType="end"/>
        </w:r>
      </w:hyperlink>
    </w:p>
    <w:p w:rsidR="00F83E4D" w:rsidRDefault="008D4F22">
      <w:pPr>
        <w:pStyle w:val="2"/>
        <w:tabs>
          <w:tab w:val="left" w:pos="1200"/>
          <w:tab w:val="right" w:leader="dot" w:pos="10456"/>
        </w:tabs>
        <w:rPr>
          <w:rFonts w:eastAsiaTheme="minorEastAsia"/>
          <w:noProof/>
          <w:sz w:val="24"/>
        </w:rPr>
      </w:pPr>
      <w:hyperlink w:anchor="_Toc181695309" w:history="1">
        <w:r w:rsidR="00F83E4D" w:rsidRPr="00F465FB">
          <w:rPr>
            <w:rStyle w:val="a8"/>
            <w:rFonts w:ascii="標楷體" w:hAnsi="標楷體"/>
            <w:noProof/>
          </w:rPr>
          <w:t>2.</w:t>
        </w:r>
        <w:r w:rsidR="00F83E4D">
          <w:rPr>
            <w:rFonts w:eastAsiaTheme="minorEastAsia"/>
            <w:noProof/>
            <w:sz w:val="24"/>
          </w:rPr>
          <w:tab/>
        </w:r>
        <w:r w:rsidR="00F83E4D" w:rsidRPr="00F465FB">
          <w:rPr>
            <w:rStyle w:val="a8"/>
            <w:rFonts w:ascii="標楷體" w:hAnsi="標楷體" w:hint="eastAsia"/>
            <w:noProof/>
          </w:rPr>
          <w:t>業務狀況</w:t>
        </w:r>
        <w:r w:rsidR="00F83E4D">
          <w:rPr>
            <w:noProof/>
            <w:webHidden/>
          </w:rPr>
          <w:tab/>
        </w:r>
        <w:r w:rsidR="00F83E4D">
          <w:rPr>
            <w:noProof/>
            <w:webHidden/>
          </w:rPr>
          <w:fldChar w:fldCharType="begin"/>
        </w:r>
        <w:r w:rsidR="00F83E4D">
          <w:rPr>
            <w:noProof/>
            <w:webHidden/>
          </w:rPr>
          <w:instrText xml:space="preserve"> PAGEREF _Toc181695309 \h </w:instrText>
        </w:r>
        <w:r w:rsidR="00F83E4D">
          <w:rPr>
            <w:noProof/>
            <w:webHidden/>
          </w:rPr>
        </w:r>
        <w:r w:rsidR="00F83E4D">
          <w:rPr>
            <w:noProof/>
            <w:webHidden/>
          </w:rPr>
          <w:fldChar w:fldCharType="separate"/>
        </w:r>
        <w:r w:rsidR="00F83E4D">
          <w:rPr>
            <w:noProof/>
            <w:webHidden/>
          </w:rPr>
          <w:t>3</w:t>
        </w:r>
        <w:r w:rsidR="00F83E4D">
          <w:rPr>
            <w:noProof/>
            <w:webHidden/>
          </w:rPr>
          <w:fldChar w:fldCharType="end"/>
        </w:r>
      </w:hyperlink>
    </w:p>
    <w:p w:rsidR="00F83E4D" w:rsidRDefault="008D4F22">
      <w:pPr>
        <w:pStyle w:val="2"/>
        <w:tabs>
          <w:tab w:val="left" w:pos="1200"/>
          <w:tab w:val="right" w:leader="dot" w:pos="10456"/>
        </w:tabs>
        <w:rPr>
          <w:rFonts w:eastAsiaTheme="minorEastAsia"/>
          <w:noProof/>
          <w:sz w:val="24"/>
        </w:rPr>
      </w:pPr>
      <w:hyperlink w:anchor="_Toc181695310" w:history="1">
        <w:r w:rsidR="00F83E4D" w:rsidRPr="00F465FB">
          <w:rPr>
            <w:rStyle w:val="a8"/>
            <w:rFonts w:ascii="標楷體" w:hAnsi="標楷體"/>
            <w:noProof/>
          </w:rPr>
          <w:t>3.</w:t>
        </w:r>
        <w:r w:rsidR="00F83E4D">
          <w:rPr>
            <w:rFonts w:eastAsiaTheme="minorEastAsia"/>
            <w:noProof/>
            <w:sz w:val="24"/>
          </w:rPr>
          <w:tab/>
        </w:r>
        <w:r w:rsidR="00F83E4D" w:rsidRPr="00F465FB">
          <w:rPr>
            <w:rStyle w:val="a8"/>
            <w:rFonts w:ascii="標楷體" w:hAnsi="標楷體" w:hint="eastAsia"/>
            <w:noProof/>
          </w:rPr>
          <w:t>財務狀況</w:t>
        </w:r>
        <w:r w:rsidR="00F83E4D">
          <w:rPr>
            <w:noProof/>
            <w:webHidden/>
          </w:rPr>
          <w:tab/>
        </w:r>
        <w:r w:rsidR="00F83E4D">
          <w:rPr>
            <w:noProof/>
            <w:webHidden/>
          </w:rPr>
          <w:fldChar w:fldCharType="begin"/>
        </w:r>
        <w:r w:rsidR="00F83E4D">
          <w:rPr>
            <w:noProof/>
            <w:webHidden/>
          </w:rPr>
          <w:instrText xml:space="preserve"> PAGEREF _Toc181695310 \h </w:instrText>
        </w:r>
        <w:r w:rsidR="00F83E4D">
          <w:rPr>
            <w:noProof/>
            <w:webHidden/>
          </w:rPr>
        </w:r>
        <w:r w:rsidR="00F83E4D">
          <w:rPr>
            <w:noProof/>
            <w:webHidden/>
          </w:rPr>
          <w:fldChar w:fldCharType="separate"/>
        </w:r>
        <w:r w:rsidR="00F83E4D">
          <w:rPr>
            <w:noProof/>
            <w:webHidden/>
          </w:rPr>
          <w:t>3</w:t>
        </w:r>
        <w:r w:rsidR="00F83E4D">
          <w:rPr>
            <w:noProof/>
            <w:webHidden/>
          </w:rPr>
          <w:fldChar w:fldCharType="end"/>
        </w:r>
      </w:hyperlink>
    </w:p>
    <w:p w:rsidR="00F83E4D" w:rsidRDefault="008D4F22">
      <w:pPr>
        <w:pStyle w:val="1"/>
        <w:tabs>
          <w:tab w:val="left" w:pos="960"/>
          <w:tab w:val="right" w:leader="dot" w:pos="10456"/>
        </w:tabs>
        <w:rPr>
          <w:rFonts w:eastAsiaTheme="minorEastAsia"/>
          <w:b w:val="0"/>
          <w:noProof/>
          <w:sz w:val="24"/>
        </w:rPr>
      </w:pPr>
      <w:hyperlink w:anchor="_Toc181695311" w:history="1">
        <w:r w:rsidR="00F83E4D" w:rsidRPr="00F465FB">
          <w:rPr>
            <w:rStyle w:val="a8"/>
            <w:rFonts w:ascii="標楷體" w:hAnsi="標楷體" w:hint="eastAsia"/>
            <w:noProof/>
          </w:rPr>
          <w:t>二、</w:t>
        </w:r>
        <w:r w:rsidR="00F83E4D">
          <w:rPr>
            <w:rFonts w:eastAsiaTheme="minorEastAsia"/>
            <w:b w:val="0"/>
            <w:noProof/>
            <w:sz w:val="24"/>
          </w:rPr>
          <w:tab/>
        </w:r>
        <w:r w:rsidR="00F83E4D" w:rsidRPr="00F465FB">
          <w:rPr>
            <w:rStyle w:val="a8"/>
            <w:rFonts w:ascii="標楷體" w:hAnsi="標楷體" w:hint="eastAsia"/>
            <w:noProof/>
          </w:rPr>
          <w:t>業務報告</w:t>
        </w:r>
        <w:r w:rsidR="00F83E4D">
          <w:rPr>
            <w:noProof/>
            <w:webHidden/>
          </w:rPr>
          <w:tab/>
        </w:r>
        <w:r w:rsidR="00F83E4D">
          <w:rPr>
            <w:noProof/>
            <w:webHidden/>
          </w:rPr>
          <w:fldChar w:fldCharType="begin"/>
        </w:r>
        <w:r w:rsidR="00F83E4D">
          <w:rPr>
            <w:noProof/>
            <w:webHidden/>
          </w:rPr>
          <w:instrText xml:space="preserve"> PAGEREF _Toc181695311 \h </w:instrText>
        </w:r>
        <w:r w:rsidR="00F83E4D">
          <w:rPr>
            <w:noProof/>
            <w:webHidden/>
          </w:rPr>
        </w:r>
        <w:r w:rsidR="00F83E4D">
          <w:rPr>
            <w:noProof/>
            <w:webHidden/>
          </w:rPr>
          <w:fldChar w:fldCharType="separate"/>
        </w:r>
        <w:r w:rsidR="00F83E4D">
          <w:rPr>
            <w:noProof/>
            <w:webHidden/>
          </w:rPr>
          <w:t>4</w:t>
        </w:r>
        <w:r w:rsidR="00F83E4D">
          <w:rPr>
            <w:noProof/>
            <w:webHidden/>
          </w:rPr>
          <w:fldChar w:fldCharType="end"/>
        </w:r>
      </w:hyperlink>
    </w:p>
    <w:p w:rsidR="00F83E4D" w:rsidRDefault="008D4F22">
      <w:pPr>
        <w:pStyle w:val="2"/>
        <w:tabs>
          <w:tab w:val="left" w:pos="1200"/>
          <w:tab w:val="right" w:leader="dot" w:pos="10456"/>
        </w:tabs>
        <w:rPr>
          <w:rFonts w:eastAsiaTheme="minorEastAsia"/>
          <w:noProof/>
          <w:sz w:val="24"/>
        </w:rPr>
      </w:pPr>
      <w:hyperlink w:anchor="_Toc181695312" w:history="1">
        <w:r w:rsidR="00F83E4D" w:rsidRPr="00F465FB">
          <w:rPr>
            <w:rStyle w:val="a8"/>
            <w:rFonts w:ascii="標楷體" w:hAnsi="標楷體"/>
            <w:noProof/>
          </w:rPr>
          <w:t>1.</w:t>
        </w:r>
        <w:r w:rsidR="00F83E4D">
          <w:rPr>
            <w:rFonts w:eastAsiaTheme="minorEastAsia"/>
            <w:noProof/>
            <w:sz w:val="24"/>
          </w:rPr>
          <w:tab/>
        </w:r>
        <w:r w:rsidR="00F83E4D" w:rsidRPr="00F465FB">
          <w:rPr>
            <w:rStyle w:val="a8"/>
            <w:rFonts w:ascii="標楷體" w:hAnsi="標楷體" w:hint="eastAsia"/>
            <w:noProof/>
          </w:rPr>
          <w:t>購電裝置容量與購電量</w:t>
        </w:r>
        <w:r w:rsidR="00F83E4D">
          <w:rPr>
            <w:noProof/>
            <w:webHidden/>
          </w:rPr>
          <w:tab/>
        </w:r>
        <w:r w:rsidR="00F83E4D">
          <w:rPr>
            <w:noProof/>
            <w:webHidden/>
          </w:rPr>
          <w:fldChar w:fldCharType="begin"/>
        </w:r>
        <w:r w:rsidR="00F83E4D">
          <w:rPr>
            <w:noProof/>
            <w:webHidden/>
          </w:rPr>
          <w:instrText xml:space="preserve"> PAGEREF _Toc181695312 \h </w:instrText>
        </w:r>
        <w:r w:rsidR="00F83E4D">
          <w:rPr>
            <w:noProof/>
            <w:webHidden/>
          </w:rPr>
        </w:r>
        <w:r w:rsidR="00F83E4D">
          <w:rPr>
            <w:noProof/>
            <w:webHidden/>
          </w:rPr>
          <w:fldChar w:fldCharType="separate"/>
        </w:r>
        <w:r w:rsidR="00F83E4D">
          <w:rPr>
            <w:noProof/>
            <w:webHidden/>
          </w:rPr>
          <w:t>4</w:t>
        </w:r>
        <w:r w:rsidR="00F83E4D">
          <w:rPr>
            <w:noProof/>
            <w:webHidden/>
          </w:rPr>
          <w:fldChar w:fldCharType="end"/>
        </w:r>
      </w:hyperlink>
    </w:p>
    <w:p w:rsidR="00F83E4D" w:rsidRDefault="008D4F22">
      <w:pPr>
        <w:pStyle w:val="2"/>
        <w:tabs>
          <w:tab w:val="left" w:pos="1200"/>
          <w:tab w:val="right" w:leader="dot" w:pos="10456"/>
        </w:tabs>
        <w:rPr>
          <w:rFonts w:eastAsiaTheme="minorEastAsia"/>
          <w:noProof/>
          <w:sz w:val="24"/>
        </w:rPr>
      </w:pPr>
      <w:hyperlink w:anchor="_Toc181695313" w:history="1">
        <w:r w:rsidR="00F83E4D" w:rsidRPr="00F465FB">
          <w:rPr>
            <w:rStyle w:val="a8"/>
            <w:rFonts w:ascii="標楷體" w:hAnsi="標楷體"/>
            <w:noProof/>
          </w:rPr>
          <w:t>2.</w:t>
        </w:r>
        <w:r w:rsidR="00F83E4D">
          <w:rPr>
            <w:rFonts w:eastAsiaTheme="minorEastAsia"/>
            <w:noProof/>
            <w:sz w:val="24"/>
          </w:rPr>
          <w:tab/>
        </w:r>
        <w:r w:rsidR="00F83E4D" w:rsidRPr="00F465FB">
          <w:rPr>
            <w:rStyle w:val="a8"/>
            <w:rFonts w:ascii="標楷體" w:hAnsi="標楷體" w:hint="eastAsia"/>
            <w:noProof/>
          </w:rPr>
          <w:t>售電情形</w:t>
        </w:r>
        <w:r w:rsidR="00F83E4D">
          <w:rPr>
            <w:noProof/>
            <w:webHidden/>
          </w:rPr>
          <w:tab/>
        </w:r>
        <w:r w:rsidR="00F83E4D">
          <w:rPr>
            <w:noProof/>
            <w:webHidden/>
          </w:rPr>
          <w:fldChar w:fldCharType="begin"/>
        </w:r>
        <w:r w:rsidR="00F83E4D">
          <w:rPr>
            <w:noProof/>
            <w:webHidden/>
          </w:rPr>
          <w:instrText xml:space="preserve"> PAGEREF _Toc181695313 \h </w:instrText>
        </w:r>
        <w:r w:rsidR="00F83E4D">
          <w:rPr>
            <w:noProof/>
            <w:webHidden/>
          </w:rPr>
        </w:r>
        <w:r w:rsidR="00F83E4D">
          <w:rPr>
            <w:noProof/>
            <w:webHidden/>
          </w:rPr>
          <w:fldChar w:fldCharType="separate"/>
        </w:r>
        <w:r w:rsidR="00F83E4D">
          <w:rPr>
            <w:noProof/>
            <w:webHidden/>
          </w:rPr>
          <w:t>4</w:t>
        </w:r>
        <w:r w:rsidR="00F83E4D">
          <w:rPr>
            <w:noProof/>
            <w:webHidden/>
          </w:rPr>
          <w:fldChar w:fldCharType="end"/>
        </w:r>
      </w:hyperlink>
    </w:p>
    <w:p w:rsidR="00F83E4D" w:rsidRDefault="008D4F22">
      <w:pPr>
        <w:pStyle w:val="3"/>
        <w:tabs>
          <w:tab w:val="left" w:pos="1920"/>
          <w:tab w:val="right" w:leader="dot" w:pos="10456"/>
        </w:tabs>
        <w:rPr>
          <w:rFonts w:eastAsiaTheme="minorEastAsia"/>
          <w:noProof/>
          <w:sz w:val="24"/>
        </w:rPr>
      </w:pPr>
      <w:hyperlink w:anchor="_Toc181695314" w:history="1">
        <w:r w:rsidR="00F83E4D" w:rsidRPr="00F465FB">
          <w:rPr>
            <w:rStyle w:val="a8"/>
            <w:rFonts w:ascii="標楷體" w:hAnsi="標楷體"/>
            <w:noProof/>
          </w:rPr>
          <w:t>(1).</w:t>
        </w:r>
        <w:r w:rsidR="00F83E4D">
          <w:rPr>
            <w:rFonts w:eastAsiaTheme="minorEastAsia"/>
            <w:noProof/>
            <w:sz w:val="24"/>
          </w:rPr>
          <w:tab/>
        </w:r>
        <w:r w:rsidR="00F83E4D" w:rsidRPr="00F465FB">
          <w:rPr>
            <w:rStyle w:val="a8"/>
            <w:rFonts w:ascii="標楷體" w:hAnsi="標楷體" w:hint="eastAsia"/>
            <w:noProof/>
          </w:rPr>
          <w:t>售電量</w:t>
        </w:r>
        <w:r w:rsidR="00F83E4D">
          <w:rPr>
            <w:noProof/>
            <w:webHidden/>
          </w:rPr>
          <w:tab/>
        </w:r>
        <w:r w:rsidR="00F83E4D">
          <w:rPr>
            <w:noProof/>
            <w:webHidden/>
          </w:rPr>
          <w:fldChar w:fldCharType="begin"/>
        </w:r>
        <w:r w:rsidR="00F83E4D">
          <w:rPr>
            <w:noProof/>
            <w:webHidden/>
          </w:rPr>
          <w:instrText xml:space="preserve"> PAGEREF _Toc181695314 \h </w:instrText>
        </w:r>
        <w:r w:rsidR="00F83E4D">
          <w:rPr>
            <w:noProof/>
            <w:webHidden/>
          </w:rPr>
        </w:r>
        <w:r w:rsidR="00F83E4D">
          <w:rPr>
            <w:noProof/>
            <w:webHidden/>
          </w:rPr>
          <w:fldChar w:fldCharType="separate"/>
        </w:r>
        <w:r w:rsidR="00F83E4D">
          <w:rPr>
            <w:noProof/>
            <w:webHidden/>
          </w:rPr>
          <w:t>4</w:t>
        </w:r>
        <w:r w:rsidR="00F83E4D">
          <w:rPr>
            <w:noProof/>
            <w:webHidden/>
          </w:rPr>
          <w:fldChar w:fldCharType="end"/>
        </w:r>
      </w:hyperlink>
    </w:p>
    <w:p w:rsidR="00F83E4D" w:rsidRDefault="008D4F22">
      <w:pPr>
        <w:pStyle w:val="3"/>
        <w:tabs>
          <w:tab w:val="left" w:pos="1920"/>
          <w:tab w:val="right" w:leader="dot" w:pos="10456"/>
        </w:tabs>
        <w:rPr>
          <w:rFonts w:eastAsiaTheme="minorEastAsia"/>
          <w:noProof/>
          <w:sz w:val="24"/>
        </w:rPr>
      </w:pPr>
      <w:hyperlink w:anchor="_Toc181695315" w:history="1">
        <w:r w:rsidR="00F83E4D" w:rsidRPr="00F465FB">
          <w:rPr>
            <w:rStyle w:val="a8"/>
            <w:rFonts w:ascii="標楷體" w:hAnsi="標楷體"/>
            <w:noProof/>
          </w:rPr>
          <w:t>(2).</w:t>
        </w:r>
        <w:r w:rsidR="00F83E4D">
          <w:rPr>
            <w:rFonts w:eastAsiaTheme="minorEastAsia"/>
            <w:noProof/>
            <w:sz w:val="24"/>
          </w:rPr>
          <w:tab/>
        </w:r>
        <w:r w:rsidR="00F83E4D" w:rsidRPr="00F465FB">
          <w:rPr>
            <w:rStyle w:val="a8"/>
            <w:rFonts w:ascii="標楷體" w:hAnsi="標楷體" w:hint="eastAsia"/>
            <w:noProof/>
          </w:rPr>
          <w:t>用戶數、每戶平均用電量</w:t>
        </w:r>
        <w:r w:rsidR="00F83E4D">
          <w:rPr>
            <w:noProof/>
            <w:webHidden/>
          </w:rPr>
          <w:tab/>
        </w:r>
        <w:r w:rsidR="00F83E4D">
          <w:rPr>
            <w:noProof/>
            <w:webHidden/>
          </w:rPr>
          <w:fldChar w:fldCharType="begin"/>
        </w:r>
        <w:r w:rsidR="00F83E4D">
          <w:rPr>
            <w:noProof/>
            <w:webHidden/>
          </w:rPr>
          <w:instrText xml:space="preserve"> PAGEREF _Toc181695315 \h </w:instrText>
        </w:r>
        <w:r w:rsidR="00F83E4D">
          <w:rPr>
            <w:noProof/>
            <w:webHidden/>
          </w:rPr>
        </w:r>
        <w:r w:rsidR="00F83E4D">
          <w:rPr>
            <w:noProof/>
            <w:webHidden/>
          </w:rPr>
          <w:fldChar w:fldCharType="separate"/>
        </w:r>
        <w:r w:rsidR="00F83E4D">
          <w:rPr>
            <w:noProof/>
            <w:webHidden/>
          </w:rPr>
          <w:t>4</w:t>
        </w:r>
        <w:r w:rsidR="00F83E4D">
          <w:rPr>
            <w:noProof/>
            <w:webHidden/>
          </w:rPr>
          <w:fldChar w:fldCharType="end"/>
        </w:r>
      </w:hyperlink>
    </w:p>
    <w:p w:rsidR="00F83E4D" w:rsidRDefault="008D4F22">
      <w:pPr>
        <w:pStyle w:val="1"/>
        <w:tabs>
          <w:tab w:val="left" w:pos="960"/>
          <w:tab w:val="right" w:leader="dot" w:pos="10456"/>
        </w:tabs>
        <w:rPr>
          <w:rFonts w:eastAsiaTheme="minorEastAsia"/>
          <w:b w:val="0"/>
          <w:noProof/>
          <w:sz w:val="24"/>
        </w:rPr>
      </w:pPr>
      <w:hyperlink w:anchor="_Toc181695316" w:history="1">
        <w:r w:rsidR="00F83E4D" w:rsidRPr="00F465FB">
          <w:rPr>
            <w:rStyle w:val="a8"/>
            <w:rFonts w:ascii="標楷體" w:hAnsi="標楷體" w:hint="eastAsia"/>
            <w:noProof/>
          </w:rPr>
          <w:t>三、</w:t>
        </w:r>
        <w:r w:rsidR="00F83E4D">
          <w:rPr>
            <w:rFonts w:eastAsiaTheme="minorEastAsia"/>
            <w:b w:val="0"/>
            <w:noProof/>
            <w:sz w:val="24"/>
          </w:rPr>
          <w:tab/>
        </w:r>
        <w:r w:rsidR="00F83E4D" w:rsidRPr="00F465FB">
          <w:rPr>
            <w:rStyle w:val="a8"/>
            <w:rFonts w:ascii="標楷體" w:hAnsi="標楷體" w:hint="eastAsia"/>
            <w:noProof/>
          </w:rPr>
          <w:t>收支實績比較表</w:t>
        </w:r>
        <w:r w:rsidR="00F83E4D">
          <w:rPr>
            <w:noProof/>
            <w:webHidden/>
          </w:rPr>
          <w:tab/>
        </w:r>
        <w:r w:rsidR="00F83E4D">
          <w:rPr>
            <w:noProof/>
            <w:webHidden/>
          </w:rPr>
          <w:fldChar w:fldCharType="begin"/>
        </w:r>
        <w:r w:rsidR="00F83E4D">
          <w:rPr>
            <w:noProof/>
            <w:webHidden/>
          </w:rPr>
          <w:instrText xml:space="preserve"> PAGEREF _Toc181695316 \h </w:instrText>
        </w:r>
        <w:r w:rsidR="00F83E4D">
          <w:rPr>
            <w:noProof/>
            <w:webHidden/>
          </w:rPr>
        </w:r>
        <w:r w:rsidR="00F83E4D">
          <w:rPr>
            <w:noProof/>
            <w:webHidden/>
          </w:rPr>
          <w:fldChar w:fldCharType="separate"/>
        </w:r>
        <w:r w:rsidR="00F83E4D">
          <w:rPr>
            <w:noProof/>
            <w:webHidden/>
          </w:rPr>
          <w:t>5</w:t>
        </w:r>
        <w:r w:rsidR="00F83E4D">
          <w:rPr>
            <w:noProof/>
            <w:webHidden/>
          </w:rPr>
          <w:fldChar w:fldCharType="end"/>
        </w:r>
      </w:hyperlink>
    </w:p>
    <w:p w:rsidR="00446921" w:rsidRDefault="00F83E4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fldChar w:fldCharType="end"/>
      </w:r>
    </w:p>
    <w:p w:rsidR="00446921" w:rsidRDefault="004469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203E9B" w:rsidRPr="00F83E4D" w:rsidRDefault="00203E9B" w:rsidP="00446921">
      <w:pPr>
        <w:pStyle w:val="a3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b/>
          <w:sz w:val="32"/>
          <w:szCs w:val="32"/>
        </w:rPr>
      </w:pPr>
      <w:bookmarkStart w:id="1" w:name="_Toc181695307"/>
      <w:r w:rsidRPr="00F83E4D">
        <w:rPr>
          <w:rFonts w:ascii="標楷體" w:eastAsia="標楷體" w:hAnsi="標楷體" w:hint="eastAsia"/>
          <w:b/>
          <w:sz w:val="32"/>
          <w:szCs w:val="32"/>
        </w:rPr>
        <w:lastRenderedPageBreak/>
        <w:t>營運綜合摘要分析報告</w:t>
      </w:r>
      <w:bookmarkEnd w:id="1"/>
    </w:p>
    <w:p w:rsidR="003D29CC" w:rsidRDefault="003D29CC" w:rsidP="00446921">
      <w:pPr>
        <w:pStyle w:val="a3"/>
        <w:numPr>
          <w:ilvl w:val="1"/>
          <w:numId w:val="1"/>
        </w:numPr>
        <w:ind w:leftChars="0"/>
        <w:outlineLvl w:val="1"/>
        <w:rPr>
          <w:rFonts w:ascii="標楷體" w:eastAsia="標楷體" w:hAnsi="標楷體"/>
          <w:sz w:val="32"/>
          <w:szCs w:val="32"/>
        </w:rPr>
      </w:pPr>
      <w:bookmarkStart w:id="2" w:name="_Toc181695308"/>
      <w:r>
        <w:rPr>
          <w:rFonts w:ascii="標楷體" w:eastAsia="標楷體" w:hAnsi="標楷體"/>
          <w:sz w:val="32"/>
          <w:szCs w:val="32"/>
        </w:rPr>
        <w:t>公司簡介</w:t>
      </w:r>
      <w:bookmarkEnd w:id="2"/>
    </w:p>
    <w:p w:rsidR="003D29CC" w:rsidRDefault="003D29CC" w:rsidP="003D29CC">
      <w:pPr>
        <w:pStyle w:val="a3"/>
        <w:ind w:leftChars="413" w:left="991"/>
        <w:rPr>
          <w:rFonts w:ascii="標楷體" w:eastAsia="標楷體" w:hAnsi="標楷體"/>
          <w:sz w:val="32"/>
          <w:szCs w:val="32"/>
        </w:rPr>
      </w:pPr>
      <w:r w:rsidRPr="003D29CC">
        <w:rPr>
          <w:rFonts w:ascii="標楷體" w:eastAsia="標楷體" w:hAnsi="標楷體" w:hint="eastAsia"/>
          <w:sz w:val="32"/>
          <w:szCs w:val="32"/>
        </w:rPr>
        <w:t>『一元復始，萬象更新』，為集團母公司元晶太陽能科技股份有限公司定名『元晶』之根本意涵。</w:t>
      </w:r>
    </w:p>
    <w:p w:rsidR="003D29CC" w:rsidRDefault="003D29CC" w:rsidP="003D29CC">
      <w:pPr>
        <w:pStyle w:val="a3"/>
        <w:ind w:leftChars="413" w:left="991"/>
        <w:rPr>
          <w:rFonts w:ascii="標楷體" w:eastAsia="標楷體" w:hAnsi="標楷體"/>
          <w:sz w:val="32"/>
          <w:szCs w:val="32"/>
        </w:rPr>
      </w:pPr>
      <w:r w:rsidRPr="003D29CC">
        <w:rPr>
          <w:rFonts w:ascii="標楷體" w:eastAsia="標楷體" w:hAnsi="標楷體" w:hint="eastAsia"/>
          <w:sz w:val="32"/>
          <w:szCs w:val="32"/>
        </w:rPr>
        <w:t>鑑於極端氣候對生命存續構成嚴重威脅，淨零碳排與能源轉型已成為社會顯學。恆立能源除了評估更多創能、儲能之可行性以外，持續推動能源轉型及調節電力供需，更能與元晶太陽能集團重視地球永續、落實節能減碳、友善環境與生態、推廣再生能源與非核家園政策之宗旨相得益彰。</w:t>
      </w:r>
    </w:p>
    <w:p w:rsidR="003D29CC" w:rsidRPr="003D29CC" w:rsidRDefault="003D29CC" w:rsidP="003D29CC">
      <w:pPr>
        <w:pStyle w:val="a3"/>
        <w:ind w:leftChars="413" w:left="991"/>
        <w:rPr>
          <w:rFonts w:ascii="標楷體" w:eastAsia="標楷體" w:hAnsi="標楷體"/>
          <w:sz w:val="32"/>
          <w:szCs w:val="32"/>
        </w:rPr>
      </w:pPr>
      <w:r w:rsidRPr="003D29CC">
        <w:rPr>
          <w:rFonts w:ascii="標楷體" w:eastAsia="標楷體" w:hAnsi="標楷體" w:hint="eastAsia"/>
          <w:sz w:val="32"/>
          <w:szCs w:val="32"/>
        </w:rPr>
        <w:t>恆立提供最佳的綠電採購方案，協助綠電需求方以合理的價格取得再生能源電力及憑證，促使供應鏈正向循環，響應政府政令、恪守相關法令，善盡企業社會責任，朝向淨零永續的目標前進。</w:t>
      </w:r>
    </w:p>
    <w:p w:rsidR="003D29CC" w:rsidRDefault="003D29CC" w:rsidP="00446921">
      <w:pPr>
        <w:pStyle w:val="a3"/>
        <w:numPr>
          <w:ilvl w:val="1"/>
          <w:numId w:val="1"/>
        </w:numPr>
        <w:ind w:leftChars="0"/>
        <w:outlineLvl w:val="1"/>
        <w:rPr>
          <w:rFonts w:ascii="標楷體" w:eastAsia="標楷體" w:hAnsi="標楷體"/>
          <w:sz w:val="32"/>
          <w:szCs w:val="32"/>
        </w:rPr>
      </w:pPr>
      <w:bookmarkStart w:id="3" w:name="_Toc181695309"/>
      <w:r>
        <w:rPr>
          <w:rFonts w:ascii="標楷體" w:eastAsia="標楷體" w:hAnsi="標楷體"/>
          <w:sz w:val="32"/>
          <w:szCs w:val="32"/>
        </w:rPr>
        <w:t>業務狀況</w:t>
      </w:r>
      <w:bookmarkEnd w:id="3"/>
    </w:p>
    <w:p w:rsidR="003D29CC" w:rsidRPr="003D29CC" w:rsidRDefault="003D29CC" w:rsidP="003D29CC">
      <w:pPr>
        <w:pStyle w:val="a3"/>
        <w:ind w:leftChars="413" w:left="991"/>
        <w:rPr>
          <w:rFonts w:ascii="標楷體" w:eastAsia="標楷體" w:hAnsi="標楷體"/>
          <w:sz w:val="32"/>
          <w:szCs w:val="32"/>
        </w:rPr>
      </w:pPr>
      <w:r w:rsidRPr="003D29CC">
        <w:rPr>
          <w:rFonts w:ascii="標楷體" w:eastAsia="標楷體" w:hAnsi="標楷體" w:hint="eastAsia"/>
          <w:sz w:val="32"/>
          <w:szCs w:val="32"/>
        </w:rPr>
        <w:t>本公司</w:t>
      </w:r>
      <w:r w:rsidR="00E06615">
        <w:rPr>
          <w:rFonts w:ascii="標楷體" w:eastAsia="標楷體" w:hAnsi="標楷體" w:hint="eastAsia"/>
          <w:sz w:val="32"/>
          <w:szCs w:val="32"/>
        </w:rPr>
        <w:t>持續</w:t>
      </w:r>
      <w:r>
        <w:rPr>
          <w:rFonts w:ascii="標楷體" w:eastAsia="標楷體" w:hAnsi="標楷體" w:hint="eastAsia"/>
          <w:sz w:val="32"/>
          <w:szCs w:val="32"/>
        </w:rPr>
        <w:t>與數家再生能源發電業展開商務、轉供等細節討論，亦與多家再生能源需求客戶完成購售電合作意向書簽署，後續將持續針對用戶需求提供對應之銷售服務</w:t>
      </w:r>
      <w:r w:rsidRPr="003D29CC">
        <w:rPr>
          <w:rFonts w:ascii="標楷體" w:eastAsia="標楷體" w:hAnsi="標楷體" w:hint="eastAsia"/>
          <w:sz w:val="32"/>
          <w:szCs w:val="32"/>
        </w:rPr>
        <w:t>。</w:t>
      </w:r>
    </w:p>
    <w:p w:rsidR="003D29CC" w:rsidRDefault="003D29CC" w:rsidP="00446921">
      <w:pPr>
        <w:pStyle w:val="a3"/>
        <w:numPr>
          <w:ilvl w:val="1"/>
          <w:numId w:val="1"/>
        </w:numPr>
        <w:ind w:leftChars="0"/>
        <w:outlineLvl w:val="1"/>
        <w:rPr>
          <w:rFonts w:ascii="標楷體" w:eastAsia="標楷體" w:hAnsi="標楷體"/>
          <w:sz w:val="32"/>
          <w:szCs w:val="32"/>
        </w:rPr>
      </w:pPr>
      <w:bookmarkStart w:id="4" w:name="_Toc181695310"/>
      <w:r>
        <w:rPr>
          <w:rFonts w:ascii="標楷體" w:eastAsia="標楷體" w:hAnsi="標楷體"/>
          <w:sz w:val="32"/>
          <w:szCs w:val="32"/>
        </w:rPr>
        <w:t>財務狀況</w:t>
      </w:r>
      <w:bookmarkEnd w:id="4"/>
    </w:p>
    <w:p w:rsidR="0053497F" w:rsidRPr="0053497F" w:rsidRDefault="003D29CC" w:rsidP="0053497F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詳見本報告第</w:t>
      </w:r>
      <w:r w:rsidR="00F83E4D">
        <w:rPr>
          <w:rFonts w:ascii="標楷體" w:eastAsia="標楷體" w:hAnsi="標楷體"/>
          <w:sz w:val="32"/>
          <w:szCs w:val="32"/>
        </w:rPr>
        <w:t>5</w:t>
      </w:r>
      <w:r w:rsidR="0053497F">
        <w:rPr>
          <w:rFonts w:ascii="標楷體" w:eastAsia="標楷體" w:hAnsi="標楷體"/>
          <w:sz w:val="32"/>
          <w:szCs w:val="32"/>
        </w:rPr>
        <w:t>頁，並</w:t>
      </w:r>
      <w:r w:rsidR="0053497F" w:rsidRPr="0053497F">
        <w:rPr>
          <w:rFonts w:ascii="標楷體" w:eastAsia="標楷體" w:hAnsi="標楷體"/>
          <w:sz w:val="32"/>
          <w:szCs w:val="32"/>
        </w:rPr>
        <w:t>同步公開</w:t>
      </w:r>
      <w:r w:rsidR="0053497F">
        <w:rPr>
          <w:rFonts w:ascii="標楷體" w:eastAsia="標楷體" w:hAnsi="標楷體"/>
          <w:sz w:val="32"/>
          <w:szCs w:val="32"/>
        </w:rPr>
        <w:t>於</w:t>
      </w:r>
      <w:r w:rsidR="0053497F" w:rsidRPr="0053497F">
        <w:rPr>
          <w:rFonts w:ascii="標楷體" w:eastAsia="標楷體" w:hAnsi="標楷體"/>
          <w:sz w:val="32"/>
          <w:szCs w:val="32"/>
        </w:rPr>
        <w:t>：</w:t>
      </w:r>
      <w:hyperlink r:id="rId8" w:history="1">
        <w:r w:rsidR="0053497F" w:rsidRPr="00D772C0">
          <w:rPr>
            <w:rStyle w:val="a8"/>
            <w:rFonts w:ascii="標楷體" w:eastAsia="標楷體" w:hAnsi="標楷體"/>
            <w:sz w:val="32"/>
            <w:szCs w:val="32"/>
          </w:rPr>
          <w:t>https://www.tsecpv.com/zh-tw/investors/index/2</w:t>
        </w:r>
      </w:hyperlink>
      <w:r w:rsidR="0053497F">
        <w:rPr>
          <w:rFonts w:ascii="標楷體" w:eastAsia="標楷體" w:hAnsi="標楷體"/>
          <w:sz w:val="32"/>
          <w:szCs w:val="32"/>
        </w:rPr>
        <w:t xml:space="preserve"> 。</w:t>
      </w:r>
    </w:p>
    <w:p w:rsidR="00446921" w:rsidRDefault="00446921" w:rsidP="003D29CC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</w:p>
    <w:p w:rsidR="00203E9B" w:rsidRPr="00F83E4D" w:rsidRDefault="00203E9B" w:rsidP="00446921">
      <w:pPr>
        <w:pStyle w:val="a3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b/>
          <w:sz w:val="32"/>
          <w:szCs w:val="32"/>
        </w:rPr>
      </w:pPr>
      <w:bookmarkStart w:id="5" w:name="_Toc181695311"/>
      <w:r w:rsidRPr="00F83E4D">
        <w:rPr>
          <w:rFonts w:ascii="標楷體" w:eastAsia="標楷體" w:hAnsi="標楷體"/>
          <w:b/>
          <w:sz w:val="32"/>
          <w:szCs w:val="32"/>
        </w:rPr>
        <w:lastRenderedPageBreak/>
        <w:t>業務報告</w:t>
      </w:r>
      <w:bookmarkEnd w:id="5"/>
    </w:p>
    <w:p w:rsidR="00203E9B" w:rsidRPr="00203E9B" w:rsidRDefault="00203E9B" w:rsidP="00446921">
      <w:pPr>
        <w:pStyle w:val="a3"/>
        <w:numPr>
          <w:ilvl w:val="1"/>
          <w:numId w:val="1"/>
        </w:numPr>
        <w:ind w:leftChars="0"/>
        <w:outlineLvl w:val="1"/>
        <w:rPr>
          <w:rFonts w:ascii="標楷體" w:eastAsia="標楷體" w:hAnsi="標楷體"/>
          <w:sz w:val="32"/>
          <w:szCs w:val="32"/>
        </w:rPr>
      </w:pPr>
      <w:bookmarkStart w:id="6" w:name="_Toc181695312"/>
      <w:r w:rsidRPr="00203E9B">
        <w:rPr>
          <w:rFonts w:ascii="標楷體" w:eastAsia="標楷體" w:hAnsi="標楷體"/>
          <w:sz w:val="32"/>
          <w:szCs w:val="32"/>
        </w:rPr>
        <w:t>購電裝置容量與購電量</w:t>
      </w:r>
      <w:bookmarkEnd w:id="6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0"/>
        <w:gridCol w:w="2089"/>
        <w:gridCol w:w="2089"/>
        <w:gridCol w:w="2089"/>
        <w:gridCol w:w="2089"/>
      </w:tblGrid>
      <w:tr w:rsidR="00203E9B" w:rsidRPr="00203E9B" w:rsidTr="00D44FD8">
        <w:trPr>
          <w:trHeight w:val="404"/>
          <w:tblHeader/>
          <w:jc w:val="center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業者名稱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能源別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  <w:hideMark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購電裝置容量(</w:t>
            </w:r>
            <w:r w:rsidRPr="00203E9B"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瓩</w:t>
            </w:r>
            <w:r w:rsidRPr="00203E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購電量(</w:t>
            </w: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度</w:t>
            </w:r>
            <w:r w:rsidRPr="00203E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203E9B" w:rsidRPr="00203E9B" w:rsidTr="00D44FD8">
        <w:trPr>
          <w:trHeight w:val="331"/>
          <w:jc w:val="center"/>
        </w:trPr>
        <w:tc>
          <w:tcPr>
            <w:tcW w:w="1000" w:type="pct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000" w:type="pct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000" w:type="pct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446921" w:rsidRPr="00203E9B" w:rsidTr="00D44FD8">
        <w:trPr>
          <w:trHeight w:val="331"/>
          <w:jc w:val="center"/>
        </w:trPr>
        <w:tc>
          <w:tcPr>
            <w:tcW w:w="2000" w:type="pct"/>
            <w:gridSpan w:val="2"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合計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000" w:type="pct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000" w:type="pct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203E9B" w:rsidRPr="00203E9B" w:rsidRDefault="00203E9B" w:rsidP="00446921">
      <w:pPr>
        <w:pStyle w:val="a3"/>
        <w:numPr>
          <w:ilvl w:val="1"/>
          <w:numId w:val="1"/>
        </w:numPr>
        <w:ind w:leftChars="0"/>
        <w:outlineLvl w:val="1"/>
        <w:rPr>
          <w:rFonts w:ascii="標楷體" w:eastAsia="標楷體" w:hAnsi="標楷體"/>
          <w:sz w:val="32"/>
          <w:szCs w:val="32"/>
        </w:rPr>
      </w:pPr>
      <w:bookmarkStart w:id="7" w:name="_Toc181695313"/>
      <w:r w:rsidRPr="00203E9B">
        <w:rPr>
          <w:rFonts w:ascii="標楷體" w:eastAsia="標楷體" w:hAnsi="標楷體"/>
          <w:sz w:val="32"/>
          <w:szCs w:val="32"/>
        </w:rPr>
        <w:t>售電情形</w:t>
      </w:r>
      <w:bookmarkEnd w:id="7"/>
    </w:p>
    <w:p w:rsidR="00203E9B" w:rsidRPr="00203E9B" w:rsidRDefault="00203E9B" w:rsidP="00446921">
      <w:pPr>
        <w:pStyle w:val="a3"/>
        <w:numPr>
          <w:ilvl w:val="2"/>
          <w:numId w:val="1"/>
        </w:numPr>
        <w:ind w:leftChars="0" w:left="1276" w:hanging="567"/>
        <w:outlineLvl w:val="2"/>
        <w:rPr>
          <w:rFonts w:ascii="標楷體" w:eastAsia="標楷體" w:hAnsi="標楷體"/>
          <w:sz w:val="32"/>
          <w:szCs w:val="32"/>
        </w:rPr>
      </w:pPr>
      <w:bookmarkStart w:id="8" w:name="_Toc181695314"/>
      <w:r w:rsidRPr="00203E9B">
        <w:rPr>
          <w:rFonts w:ascii="標楷體" w:eastAsia="標楷體" w:hAnsi="標楷體"/>
          <w:sz w:val="32"/>
          <w:szCs w:val="32"/>
        </w:rPr>
        <w:t>售電量</w:t>
      </w:r>
      <w:bookmarkEnd w:id="8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087"/>
        <w:gridCol w:w="978"/>
        <w:gridCol w:w="1439"/>
        <w:gridCol w:w="1439"/>
        <w:gridCol w:w="1439"/>
        <w:gridCol w:w="1439"/>
        <w:gridCol w:w="1429"/>
      </w:tblGrid>
      <w:tr w:rsidR="00203E9B" w:rsidRPr="00203E9B" w:rsidTr="00446921">
        <w:trPr>
          <w:trHeight w:val="330"/>
          <w:jc w:val="center"/>
        </w:trPr>
        <w:tc>
          <w:tcPr>
            <w:tcW w:w="572" w:type="pct"/>
            <w:vMerge w:val="restart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行業別</w:t>
            </w:r>
          </w:p>
        </w:tc>
        <w:tc>
          <w:tcPr>
            <w:tcW w:w="520" w:type="pct"/>
            <w:vMerge w:val="restart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用戶名稱＊</w:t>
            </w:r>
          </w:p>
        </w:tc>
        <w:tc>
          <w:tcPr>
            <w:tcW w:w="467" w:type="pct"/>
            <w:vMerge w:val="restart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能源別</w:t>
            </w:r>
          </w:p>
        </w:tc>
        <w:tc>
          <w:tcPr>
            <w:tcW w:w="1378" w:type="pct"/>
            <w:gridSpan w:val="2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本月份售電量</w:t>
            </w:r>
          </w:p>
        </w:tc>
        <w:tc>
          <w:tcPr>
            <w:tcW w:w="1378" w:type="pct"/>
            <w:gridSpan w:val="2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一至本月份止累計售電量</w:t>
            </w:r>
          </w:p>
        </w:tc>
        <w:tc>
          <w:tcPr>
            <w:tcW w:w="685" w:type="pct"/>
            <w:vMerge w:val="restart"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本月份</w:t>
            </w:r>
          </w:p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售電量合計</w:t>
            </w:r>
          </w:p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(依行業別)</w:t>
            </w:r>
          </w:p>
        </w:tc>
      </w:tr>
      <w:tr w:rsidR="00203E9B" w:rsidRPr="00203E9B" w:rsidTr="00446921">
        <w:trPr>
          <w:trHeight w:val="330"/>
          <w:jc w:val="center"/>
        </w:trPr>
        <w:tc>
          <w:tcPr>
            <w:tcW w:w="572" w:type="pct"/>
            <w:vMerge/>
            <w:shd w:val="clear" w:color="auto" w:fill="F2F2F2" w:themeFill="background1" w:themeFillShade="F2"/>
            <w:vAlign w:val="center"/>
            <w:hideMark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pct"/>
            <w:vMerge/>
            <w:shd w:val="clear" w:color="auto" w:fill="F2F2F2" w:themeFill="background1" w:themeFillShade="F2"/>
            <w:vAlign w:val="center"/>
            <w:hideMark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" w:type="pct"/>
            <w:vMerge/>
            <w:shd w:val="clear" w:color="auto" w:fill="F2F2F2" w:themeFill="background1" w:themeFillShade="F2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9" w:type="pct"/>
            <w:shd w:val="clear" w:color="auto" w:fill="F2F2F2" w:themeFill="background1" w:themeFillShade="F2"/>
            <w:vAlign w:val="center"/>
            <w:hideMark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實績值(度)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  <w:hideMark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較上年同期增減(%)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  <w:hideMark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 xml:space="preserve"> 實績值(度)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  <w:hideMark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較上年同期增減(%)</w:t>
            </w:r>
          </w:p>
        </w:tc>
        <w:tc>
          <w:tcPr>
            <w:tcW w:w="685" w:type="pct"/>
            <w:vMerge/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03E9B" w:rsidRPr="00203E9B" w:rsidTr="00446921">
        <w:trPr>
          <w:trHeight w:val="345"/>
          <w:jc w:val="center"/>
        </w:trPr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467" w:type="pct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5" w:type="pct"/>
            <w:vMerge w:val="restart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46921" w:rsidRPr="00203E9B" w:rsidTr="00446921">
        <w:trPr>
          <w:trHeight w:val="345"/>
          <w:jc w:val="center"/>
        </w:trPr>
        <w:tc>
          <w:tcPr>
            <w:tcW w:w="572" w:type="pct"/>
            <w:vMerge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  <w:noWrap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467" w:type="pct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5" w:type="pct"/>
            <w:vMerge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46921" w:rsidRPr="00203E9B" w:rsidTr="00446921">
        <w:trPr>
          <w:trHeight w:val="345"/>
          <w:jc w:val="center"/>
        </w:trPr>
        <w:tc>
          <w:tcPr>
            <w:tcW w:w="572" w:type="pct"/>
            <w:vMerge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  <w:noWrap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467" w:type="pct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5" w:type="pct"/>
            <w:vMerge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46921" w:rsidRPr="00203E9B" w:rsidTr="00446921">
        <w:trPr>
          <w:trHeight w:val="330"/>
          <w:jc w:val="center"/>
        </w:trPr>
        <w:tc>
          <w:tcPr>
            <w:tcW w:w="1560" w:type="pct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合計</w:t>
            </w:r>
          </w:p>
        </w:tc>
        <w:tc>
          <w:tcPr>
            <w:tcW w:w="68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85" w:type="pct"/>
            <w:tcBorders>
              <w:bottom w:val="single" w:sz="8" w:space="0" w:color="auto"/>
            </w:tcBorders>
            <w:shd w:val="clear" w:color="auto" w:fill="7F7F7F" w:themeFill="text1" w:themeFillTint="80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203E9B" w:rsidRPr="00203E9B" w:rsidRDefault="00203E9B" w:rsidP="00446921">
      <w:pPr>
        <w:pStyle w:val="a3"/>
        <w:numPr>
          <w:ilvl w:val="2"/>
          <w:numId w:val="1"/>
        </w:numPr>
        <w:ind w:leftChars="0" w:left="1276" w:hanging="567"/>
        <w:outlineLvl w:val="2"/>
        <w:rPr>
          <w:rFonts w:ascii="標楷體" w:eastAsia="標楷體" w:hAnsi="標楷體"/>
          <w:sz w:val="32"/>
          <w:szCs w:val="32"/>
        </w:rPr>
      </w:pPr>
      <w:bookmarkStart w:id="9" w:name="_Toc181695315"/>
      <w:r w:rsidRPr="00203E9B">
        <w:rPr>
          <w:rFonts w:ascii="標楷體" w:eastAsia="標楷體" w:hAnsi="標楷體" w:hint="eastAsia"/>
          <w:sz w:val="32"/>
          <w:szCs w:val="32"/>
        </w:rPr>
        <w:t>用戶數、每戶平均用電量</w:t>
      </w:r>
      <w:bookmarkEnd w:id="9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5"/>
        <w:gridCol w:w="1634"/>
        <w:gridCol w:w="1659"/>
        <w:gridCol w:w="2781"/>
        <w:gridCol w:w="1659"/>
        <w:gridCol w:w="1308"/>
      </w:tblGrid>
      <w:tr w:rsidR="00203E9B" w:rsidRPr="00203E9B" w:rsidTr="00446921">
        <w:trPr>
          <w:trHeight w:val="330"/>
          <w:jc w:val="center"/>
        </w:trPr>
        <w:tc>
          <w:tcPr>
            <w:tcW w:w="1455" w:type="pct"/>
            <w:gridSpan w:val="2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項目</w:t>
            </w:r>
          </w:p>
        </w:tc>
        <w:tc>
          <w:tcPr>
            <w:tcW w:w="2125" w:type="pct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本月份</w:t>
            </w:r>
          </w:p>
        </w:tc>
        <w:tc>
          <w:tcPr>
            <w:tcW w:w="1420" w:type="pct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一至本月份止累計</w:t>
            </w:r>
          </w:p>
        </w:tc>
      </w:tr>
      <w:tr w:rsidR="00203E9B" w:rsidRPr="00203E9B" w:rsidTr="00446921">
        <w:trPr>
          <w:trHeight w:val="330"/>
          <w:jc w:val="center"/>
        </w:trPr>
        <w:tc>
          <w:tcPr>
            <w:tcW w:w="1455" w:type="pct"/>
            <w:gridSpan w:val="2"/>
            <w:vMerge/>
            <w:shd w:val="clear" w:color="auto" w:fill="F2F2F2" w:themeFill="background1" w:themeFillShade="F2"/>
            <w:noWrap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實績值(度)</w:t>
            </w:r>
          </w:p>
        </w:tc>
        <w:tc>
          <w:tcPr>
            <w:tcW w:w="1331" w:type="pct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較上年同期增減(%)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實績值(度)</w:t>
            </w:r>
          </w:p>
        </w:tc>
        <w:tc>
          <w:tcPr>
            <w:tcW w:w="626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較上年同期增減(%)</w:t>
            </w:r>
          </w:p>
        </w:tc>
      </w:tr>
      <w:tr w:rsidR="00203E9B" w:rsidRPr="00203E9B" w:rsidTr="00446921">
        <w:trPr>
          <w:trHeight w:val="454"/>
          <w:jc w:val="center"/>
        </w:trPr>
        <w:tc>
          <w:tcPr>
            <w:tcW w:w="673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03E9B" w:rsidRPr="00203E9B" w:rsidRDefault="00203E9B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用戶數</w:t>
            </w:r>
          </w:p>
        </w:tc>
        <w:tc>
          <w:tcPr>
            <w:tcW w:w="78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33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3E9B" w:rsidRPr="00203E9B" w:rsidRDefault="00446921" w:rsidP="00D44FD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446921" w:rsidRPr="00203E9B" w:rsidTr="00446921">
        <w:trPr>
          <w:trHeight w:val="454"/>
          <w:jc w:val="center"/>
        </w:trPr>
        <w:tc>
          <w:tcPr>
            <w:tcW w:w="673" w:type="pct"/>
            <w:vMerge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33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446921" w:rsidRPr="00203E9B" w:rsidTr="00446921">
        <w:trPr>
          <w:trHeight w:val="454"/>
          <w:jc w:val="center"/>
        </w:trPr>
        <w:tc>
          <w:tcPr>
            <w:tcW w:w="673" w:type="pct"/>
            <w:vMerge/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N/A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33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446921" w:rsidRPr="00203E9B" w:rsidTr="00446921">
        <w:trPr>
          <w:trHeight w:val="454"/>
          <w:jc w:val="center"/>
        </w:trPr>
        <w:tc>
          <w:tcPr>
            <w:tcW w:w="1455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合計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33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446921" w:rsidRPr="00203E9B" w:rsidTr="004D08B8">
        <w:trPr>
          <w:trHeight w:val="330"/>
          <w:jc w:val="center"/>
        </w:trPr>
        <w:tc>
          <w:tcPr>
            <w:tcW w:w="1455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每戶平均用電量</w:t>
            </w: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13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6921" w:rsidRPr="00203E9B" w:rsidRDefault="00446921" w:rsidP="004469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</w:tbl>
    <w:p w:rsidR="00446921" w:rsidRDefault="004469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203E9B" w:rsidRPr="00F83E4D" w:rsidRDefault="00203E9B" w:rsidP="00446921">
      <w:pPr>
        <w:pStyle w:val="a3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b/>
          <w:sz w:val="32"/>
          <w:szCs w:val="32"/>
        </w:rPr>
      </w:pPr>
      <w:bookmarkStart w:id="10" w:name="_Toc181695316"/>
      <w:r w:rsidRPr="00F83E4D">
        <w:rPr>
          <w:rFonts w:ascii="標楷體" w:eastAsia="標楷體" w:hAnsi="標楷體" w:hint="eastAsia"/>
          <w:b/>
          <w:sz w:val="32"/>
          <w:szCs w:val="32"/>
        </w:rPr>
        <w:lastRenderedPageBreak/>
        <w:t>收支實績比較表</w:t>
      </w:r>
      <w:bookmarkEnd w:id="10"/>
    </w:p>
    <w:p w:rsidR="00203E9B" w:rsidRPr="00203E9B" w:rsidRDefault="00203E9B" w:rsidP="00203E9B">
      <w:pPr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11" w:name="OLE_LINK8"/>
      <w:bookmarkStart w:id="12" w:name="OLE_LINK9"/>
      <w:bookmarkStart w:id="13" w:name="OLE_LINK10"/>
      <w:r w:rsidRPr="00203E9B">
        <w:rPr>
          <w:rFonts w:ascii="標楷體" w:eastAsia="標楷體" w:hAnsi="標楷體" w:cs="Times New Roman"/>
          <w:sz w:val="32"/>
          <w:szCs w:val="32"/>
        </w:rPr>
        <w:t>民國</w:t>
      </w:r>
      <w:r w:rsidR="00446921">
        <w:rPr>
          <w:rFonts w:ascii="標楷體" w:eastAsia="標楷體" w:hAnsi="標楷體" w:cs="Times New Roman"/>
          <w:sz w:val="32"/>
          <w:szCs w:val="32"/>
        </w:rPr>
        <w:t>113</w:t>
      </w:r>
      <w:r w:rsidRPr="00203E9B">
        <w:rPr>
          <w:rFonts w:ascii="標楷體" w:eastAsia="標楷體" w:hAnsi="標楷體" w:cs="Times New Roman"/>
          <w:sz w:val="32"/>
          <w:szCs w:val="32"/>
        </w:rPr>
        <w:t>年</w:t>
      </w:r>
      <w:r w:rsidR="00446921">
        <w:rPr>
          <w:rFonts w:ascii="標楷體" w:eastAsia="標楷體" w:hAnsi="標楷體" w:cs="Times New Roman"/>
          <w:sz w:val="32"/>
          <w:szCs w:val="32"/>
        </w:rPr>
        <w:t>1</w:t>
      </w:r>
      <w:r w:rsidR="00E06615">
        <w:rPr>
          <w:rFonts w:ascii="標楷體" w:eastAsia="標楷體" w:hAnsi="標楷體" w:cs="Times New Roman"/>
          <w:sz w:val="32"/>
          <w:szCs w:val="32"/>
        </w:rPr>
        <w:t>1</w:t>
      </w:r>
      <w:r w:rsidRPr="00203E9B">
        <w:rPr>
          <w:rFonts w:ascii="標楷體" w:eastAsia="標楷體" w:hAnsi="標楷體" w:cs="Times New Roman"/>
          <w:sz w:val="32"/>
          <w:szCs w:val="32"/>
        </w:rPr>
        <w:t>月份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701"/>
        <w:gridCol w:w="1422"/>
        <w:gridCol w:w="1248"/>
        <w:gridCol w:w="1251"/>
        <w:gridCol w:w="1450"/>
        <w:gridCol w:w="1048"/>
        <w:gridCol w:w="1336"/>
      </w:tblGrid>
      <w:tr w:rsidR="00203E9B" w:rsidRPr="00203E9B" w:rsidTr="00446921">
        <w:trPr>
          <w:trHeight w:val="188"/>
        </w:trPr>
        <w:tc>
          <w:tcPr>
            <w:tcW w:w="1298" w:type="pct"/>
            <w:vMerge w:val="restart"/>
            <w:vAlign w:val="center"/>
          </w:tcPr>
          <w:bookmarkEnd w:id="11"/>
          <w:bookmarkEnd w:id="12"/>
          <w:bookmarkEnd w:id="13"/>
          <w:p w:rsidR="00203E9B" w:rsidRPr="00203E9B" w:rsidRDefault="00203E9B" w:rsidP="0044692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項    目</w:t>
            </w:r>
          </w:p>
        </w:tc>
        <w:tc>
          <w:tcPr>
            <w:tcW w:w="1893" w:type="pct"/>
            <w:gridSpan w:val="3"/>
            <w:vAlign w:val="center"/>
          </w:tcPr>
          <w:p w:rsidR="00203E9B" w:rsidRPr="00203E9B" w:rsidRDefault="00203E9B" w:rsidP="0044692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本月份發生數</w:t>
            </w:r>
          </w:p>
        </w:tc>
        <w:tc>
          <w:tcPr>
            <w:tcW w:w="1809" w:type="pct"/>
            <w:gridSpan w:val="3"/>
            <w:vAlign w:val="center"/>
          </w:tcPr>
          <w:p w:rsidR="00203E9B" w:rsidRPr="00203E9B" w:rsidRDefault="00203E9B" w:rsidP="0044692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累計實績數</w:t>
            </w:r>
          </w:p>
        </w:tc>
      </w:tr>
      <w:tr w:rsidR="00203E9B" w:rsidRPr="00203E9B" w:rsidTr="00446921">
        <w:trPr>
          <w:trHeight w:val="188"/>
        </w:trPr>
        <w:tc>
          <w:tcPr>
            <w:tcW w:w="1298" w:type="pct"/>
            <w:vMerge/>
            <w:vAlign w:val="center"/>
          </w:tcPr>
          <w:p w:rsidR="00203E9B" w:rsidRPr="00203E9B" w:rsidRDefault="00203E9B" w:rsidP="0044692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686" w:type="pct"/>
            <w:vAlign w:val="center"/>
          </w:tcPr>
          <w:p w:rsidR="00203E9B" w:rsidRPr="00203E9B" w:rsidRDefault="00203E9B" w:rsidP="0044692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實績數</w:t>
            </w: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br/>
              <w:t>(A)</w:t>
            </w:r>
          </w:p>
        </w:tc>
        <w:tc>
          <w:tcPr>
            <w:tcW w:w="603" w:type="pct"/>
            <w:vAlign w:val="center"/>
          </w:tcPr>
          <w:p w:rsidR="00203E9B" w:rsidRPr="00203E9B" w:rsidRDefault="00203E9B" w:rsidP="0044692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去年同期</w:t>
            </w: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br/>
              <w:t>(B)</w:t>
            </w:r>
          </w:p>
        </w:tc>
        <w:tc>
          <w:tcPr>
            <w:tcW w:w="604" w:type="pct"/>
            <w:vAlign w:val="center"/>
          </w:tcPr>
          <w:p w:rsidR="00203E9B" w:rsidRPr="00203E9B" w:rsidRDefault="00203E9B" w:rsidP="0044692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差異</w:t>
            </w:r>
          </w:p>
          <w:p w:rsidR="00203E9B" w:rsidRPr="00203E9B" w:rsidRDefault="00203E9B" w:rsidP="0044692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(A-B)</w:t>
            </w:r>
          </w:p>
        </w:tc>
        <w:tc>
          <w:tcPr>
            <w:tcW w:w="699" w:type="pct"/>
            <w:vAlign w:val="center"/>
          </w:tcPr>
          <w:p w:rsidR="00203E9B" w:rsidRPr="00203E9B" w:rsidRDefault="00203E9B" w:rsidP="0044692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實績數</w:t>
            </w: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br/>
              <w:t>(C)</w:t>
            </w:r>
          </w:p>
        </w:tc>
        <w:tc>
          <w:tcPr>
            <w:tcW w:w="507" w:type="pct"/>
            <w:vAlign w:val="center"/>
          </w:tcPr>
          <w:p w:rsidR="00203E9B" w:rsidRPr="00203E9B" w:rsidRDefault="00203E9B" w:rsidP="0044692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去年同期</w:t>
            </w: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br/>
              <w:t>(D)</w:t>
            </w:r>
          </w:p>
        </w:tc>
        <w:tc>
          <w:tcPr>
            <w:tcW w:w="603" w:type="pct"/>
            <w:vAlign w:val="center"/>
          </w:tcPr>
          <w:p w:rsidR="00203E9B" w:rsidRPr="00203E9B" w:rsidRDefault="00203E9B" w:rsidP="0044692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差異</w:t>
            </w: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br/>
              <w:t>(C-D)</w:t>
            </w:r>
          </w:p>
        </w:tc>
      </w:tr>
      <w:tr w:rsidR="00203E9B" w:rsidRPr="00203E9B" w:rsidTr="00446921">
        <w:trPr>
          <w:trHeight w:val="800"/>
        </w:trPr>
        <w:tc>
          <w:tcPr>
            <w:tcW w:w="1298" w:type="pct"/>
            <w:vAlign w:val="center"/>
          </w:tcPr>
          <w:p w:rsidR="00203E9B" w:rsidRPr="00203E9B" w:rsidRDefault="00203E9B" w:rsidP="00446921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營業收入</w:t>
            </w:r>
          </w:p>
        </w:tc>
        <w:tc>
          <w:tcPr>
            <w:tcW w:w="686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46921" w:rsidRPr="00203E9B" w:rsidTr="00446921">
        <w:trPr>
          <w:trHeight w:val="800"/>
        </w:trPr>
        <w:tc>
          <w:tcPr>
            <w:tcW w:w="1298" w:type="pct"/>
            <w:vAlign w:val="center"/>
          </w:tcPr>
          <w:p w:rsidR="00446921" w:rsidRPr="00203E9B" w:rsidRDefault="00446921" w:rsidP="00446921">
            <w:pPr>
              <w:tabs>
                <w:tab w:val="left" w:pos="533"/>
              </w:tabs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電業收入</w:t>
            </w:r>
          </w:p>
        </w:tc>
        <w:tc>
          <w:tcPr>
            <w:tcW w:w="686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4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507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446921" w:rsidRPr="00203E9B" w:rsidTr="00446921">
        <w:trPr>
          <w:trHeight w:val="800"/>
        </w:trPr>
        <w:tc>
          <w:tcPr>
            <w:tcW w:w="1298" w:type="pct"/>
            <w:vAlign w:val="center"/>
          </w:tcPr>
          <w:p w:rsidR="00446921" w:rsidRPr="00203E9B" w:rsidRDefault="00446921" w:rsidP="00446921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其他營業收入</w:t>
            </w:r>
          </w:p>
        </w:tc>
        <w:tc>
          <w:tcPr>
            <w:tcW w:w="686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4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507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203E9B" w:rsidRPr="00203E9B" w:rsidTr="00446921">
        <w:trPr>
          <w:trHeight w:val="800"/>
        </w:trPr>
        <w:tc>
          <w:tcPr>
            <w:tcW w:w="1298" w:type="pct"/>
            <w:vAlign w:val="center"/>
          </w:tcPr>
          <w:p w:rsidR="00203E9B" w:rsidRPr="00203E9B" w:rsidRDefault="00203E9B" w:rsidP="00446921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sz w:val="32"/>
                <w:szCs w:val="32"/>
              </w:rPr>
              <w:t>營業支出</w:t>
            </w:r>
          </w:p>
        </w:tc>
        <w:tc>
          <w:tcPr>
            <w:tcW w:w="686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203E9B" w:rsidRPr="00446921" w:rsidRDefault="00203E9B" w:rsidP="0044692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46921" w:rsidRPr="00203E9B" w:rsidTr="00446921">
        <w:trPr>
          <w:trHeight w:val="800"/>
        </w:trPr>
        <w:tc>
          <w:tcPr>
            <w:tcW w:w="1298" w:type="pct"/>
            <w:vAlign w:val="center"/>
          </w:tcPr>
          <w:p w:rsidR="00446921" w:rsidRPr="00203E9B" w:rsidRDefault="00446921" w:rsidP="00446921">
            <w:pPr>
              <w:pStyle w:val="a3"/>
              <w:spacing w:line="400" w:lineRule="exact"/>
              <w:ind w:leftChars="0" w:left="295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sz w:val="32"/>
                <w:szCs w:val="32"/>
              </w:rPr>
              <w:t>營業成本</w:t>
            </w:r>
          </w:p>
        </w:tc>
        <w:tc>
          <w:tcPr>
            <w:tcW w:w="686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4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507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446921" w:rsidRPr="00203E9B" w:rsidTr="00446921">
        <w:trPr>
          <w:trHeight w:val="800"/>
        </w:trPr>
        <w:tc>
          <w:tcPr>
            <w:tcW w:w="1298" w:type="pct"/>
            <w:vAlign w:val="center"/>
          </w:tcPr>
          <w:p w:rsidR="00446921" w:rsidRPr="00203E9B" w:rsidRDefault="00446921" w:rsidP="00446921">
            <w:pPr>
              <w:pStyle w:val="a3"/>
              <w:spacing w:line="400" w:lineRule="exact"/>
              <w:ind w:leftChars="0" w:left="295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sz w:val="32"/>
                <w:szCs w:val="32"/>
              </w:rPr>
              <w:t>營業</w:t>
            </w:r>
            <w:r w:rsidRPr="00203E9B">
              <w:rPr>
                <w:rFonts w:ascii="標楷體" w:eastAsia="標楷體" w:hAnsi="標楷體" w:cs="Times New Roman"/>
                <w:sz w:val="32"/>
                <w:szCs w:val="32"/>
              </w:rPr>
              <w:t>費用</w:t>
            </w:r>
          </w:p>
        </w:tc>
        <w:tc>
          <w:tcPr>
            <w:tcW w:w="686" w:type="pct"/>
            <w:vAlign w:val="center"/>
          </w:tcPr>
          <w:p w:rsidR="00446921" w:rsidRPr="00446921" w:rsidRDefault="00E06615" w:rsidP="004469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</w:rPr>
              <w:t>-</w:t>
            </w:r>
          </w:p>
        </w:tc>
        <w:tc>
          <w:tcPr>
            <w:tcW w:w="604" w:type="pct"/>
            <w:vAlign w:val="center"/>
          </w:tcPr>
          <w:p w:rsidR="00446921" w:rsidRPr="00446921" w:rsidRDefault="00E06615" w:rsidP="004469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</w:rPr>
              <w:t>68,655</w:t>
            </w:r>
          </w:p>
        </w:tc>
        <w:tc>
          <w:tcPr>
            <w:tcW w:w="507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</w:rPr>
              <w:t>68,655</w:t>
            </w:r>
          </w:p>
        </w:tc>
      </w:tr>
      <w:tr w:rsidR="00446921" w:rsidRPr="00203E9B" w:rsidTr="00446921">
        <w:trPr>
          <w:trHeight w:val="800"/>
        </w:trPr>
        <w:tc>
          <w:tcPr>
            <w:tcW w:w="1298" w:type="pct"/>
            <w:vAlign w:val="center"/>
          </w:tcPr>
          <w:p w:rsidR="00446921" w:rsidRPr="00203E9B" w:rsidRDefault="00446921" w:rsidP="00446921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b/>
                <w:sz w:val="32"/>
                <w:szCs w:val="32"/>
              </w:rPr>
              <w:t>營業收益</w:t>
            </w:r>
          </w:p>
          <w:p w:rsidR="00446921" w:rsidRPr="00203E9B" w:rsidRDefault="00446921" w:rsidP="00446921">
            <w:pPr>
              <w:pStyle w:val="a3"/>
              <w:spacing w:line="400" w:lineRule="exact"/>
              <w:ind w:leftChars="0" w:left="284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(1</w:t>
            </w:r>
            <w:r w:rsidRPr="00203E9B">
              <w:rPr>
                <w:rFonts w:ascii="標楷體" w:eastAsia="標楷體" w:hAnsi="標楷體" w:cs="Times New Roman"/>
                <w:b/>
                <w:sz w:val="32"/>
                <w:szCs w:val="32"/>
              </w:rPr>
              <w:t>-2</w:t>
            </w:r>
            <w:r w:rsidRPr="00203E9B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686" w:type="pct"/>
            <w:vAlign w:val="center"/>
          </w:tcPr>
          <w:p w:rsidR="00446921" w:rsidRPr="00446921" w:rsidRDefault="00E06615" w:rsidP="00446921">
            <w:pPr>
              <w:tabs>
                <w:tab w:val="center" w:pos="604"/>
              </w:tabs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E06615" w:rsidP="00446921">
            <w:pPr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4" w:type="pct"/>
            <w:vAlign w:val="center"/>
          </w:tcPr>
          <w:p w:rsidR="00446921" w:rsidRPr="00446921" w:rsidRDefault="00E06615" w:rsidP="00446921">
            <w:pPr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color w:val="C00000"/>
                <w:sz w:val="28"/>
              </w:rPr>
              <w:t>(68,655)</w:t>
            </w:r>
          </w:p>
        </w:tc>
        <w:tc>
          <w:tcPr>
            <w:tcW w:w="507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color w:val="C00000"/>
                <w:sz w:val="28"/>
              </w:rPr>
              <w:t>(68,655)</w:t>
            </w:r>
          </w:p>
        </w:tc>
      </w:tr>
      <w:tr w:rsidR="00446921" w:rsidRPr="00203E9B" w:rsidTr="00446921">
        <w:trPr>
          <w:trHeight w:val="800"/>
        </w:trPr>
        <w:tc>
          <w:tcPr>
            <w:tcW w:w="1298" w:type="pct"/>
            <w:vAlign w:val="center"/>
          </w:tcPr>
          <w:p w:rsidR="00446921" w:rsidRPr="00203E9B" w:rsidRDefault="00446921" w:rsidP="00446921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03E9B">
              <w:rPr>
                <w:rFonts w:ascii="標楷體" w:eastAsia="標楷體" w:hAnsi="標楷體" w:cs="Times New Roman"/>
                <w:b/>
                <w:sz w:val="32"/>
                <w:szCs w:val="32"/>
              </w:rPr>
              <w:t>稅前盈餘</w:t>
            </w:r>
          </w:p>
        </w:tc>
        <w:tc>
          <w:tcPr>
            <w:tcW w:w="686" w:type="pct"/>
            <w:vAlign w:val="center"/>
          </w:tcPr>
          <w:p w:rsidR="00446921" w:rsidRPr="00446921" w:rsidRDefault="00E06615" w:rsidP="00446921">
            <w:pPr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3" w:type="pct"/>
            <w:vAlign w:val="center"/>
          </w:tcPr>
          <w:p w:rsidR="00446921" w:rsidRPr="00446921" w:rsidRDefault="00E06615" w:rsidP="00446921">
            <w:pPr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4" w:type="pct"/>
            <w:vAlign w:val="center"/>
          </w:tcPr>
          <w:p w:rsidR="00446921" w:rsidRPr="00446921" w:rsidRDefault="00E06615" w:rsidP="00446921">
            <w:pPr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color w:val="C00000"/>
                <w:sz w:val="28"/>
              </w:rPr>
              <w:t>(64,452)</w:t>
            </w:r>
          </w:p>
        </w:tc>
        <w:tc>
          <w:tcPr>
            <w:tcW w:w="507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46921">
              <w:rPr>
                <w:rFonts w:ascii="標楷體" w:eastAsia="標楷體" w:hAnsi="標楷體"/>
                <w:sz w:val="28"/>
              </w:rPr>
              <w:t>205</w:t>
            </w:r>
          </w:p>
        </w:tc>
        <w:tc>
          <w:tcPr>
            <w:tcW w:w="603" w:type="pct"/>
            <w:vAlign w:val="center"/>
          </w:tcPr>
          <w:p w:rsidR="00446921" w:rsidRPr="00446921" w:rsidRDefault="00446921" w:rsidP="00446921">
            <w:pPr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446921">
              <w:rPr>
                <w:rFonts w:ascii="標楷體" w:eastAsia="標楷體" w:hAnsi="標楷體"/>
                <w:color w:val="C00000"/>
                <w:sz w:val="28"/>
              </w:rPr>
              <w:t>(64,657)</w:t>
            </w:r>
          </w:p>
        </w:tc>
      </w:tr>
    </w:tbl>
    <w:p w:rsidR="00203E9B" w:rsidRPr="00203E9B" w:rsidRDefault="00203E9B" w:rsidP="00203E9B">
      <w:pPr>
        <w:pStyle w:val="a3"/>
        <w:ind w:leftChars="0"/>
        <w:rPr>
          <w:rFonts w:ascii="標楷體" w:eastAsia="標楷體" w:hAnsi="標楷體"/>
          <w:sz w:val="32"/>
          <w:szCs w:val="32"/>
        </w:rPr>
      </w:pPr>
    </w:p>
    <w:sectPr w:rsidR="00203E9B" w:rsidRPr="00203E9B" w:rsidSect="00203E9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22" w:rsidRDefault="008D4F22" w:rsidP="003D29CC">
      <w:r>
        <w:separator/>
      </w:r>
    </w:p>
  </w:endnote>
  <w:endnote w:type="continuationSeparator" w:id="0">
    <w:p w:rsidR="008D4F22" w:rsidRDefault="008D4F22" w:rsidP="003D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537340"/>
      <w:docPartObj>
        <w:docPartGallery w:val="Page Numbers (Bottom of Page)"/>
        <w:docPartUnique/>
      </w:docPartObj>
    </w:sdtPr>
    <w:sdtEndPr/>
    <w:sdtContent>
      <w:p w:rsidR="00446921" w:rsidRDefault="004469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43" w:rsidRPr="003C1043">
          <w:rPr>
            <w:noProof/>
            <w:lang w:val="zh-TW"/>
          </w:rPr>
          <w:t>1</w:t>
        </w:r>
        <w:r>
          <w:fldChar w:fldCharType="end"/>
        </w:r>
      </w:p>
    </w:sdtContent>
  </w:sdt>
  <w:p w:rsidR="00446921" w:rsidRDefault="004469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22" w:rsidRDefault="008D4F22" w:rsidP="003D29CC">
      <w:r>
        <w:separator/>
      </w:r>
    </w:p>
  </w:footnote>
  <w:footnote w:type="continuationSeparator" w:id="0">
    <w:p w:rsidR="008D4F22" w:rsidRDefault="008D4F22" w:rsidP="003D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212D5"/>
    <w:multiLevelType w:val="hybridMultilevel"/>
    <w:tmpl w:val="5EEE40AA"/>
    <w:lvl w:ilvl="0" w:tplc="761A5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107493CA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7B3794"/>
    <w:multiLevelType w:val="hybridMultilevel"/>
    <w:tmpl w:val="B8669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9B"/>
    <w:rsid w:val="000C2BC8"/>
    <w:rsid w:val="00102462"/>
    <w:rsid w:val="001114D3"/>
    <w:rsid w:val="00203E9B"/>
    <w:rsid w:val="00246B0F"/>
    <w:rsid w:val="003C1043"/>
    <w:rsid w:val="003D29CC"/>
    <w:rsid w:val="00446921"/>
    <w:rsid w:val="0053497F"/>
    <w:rsid w:val="005B1EB2"/>
    <w:rsid w:val="008D4F22"/>
    <w:rsid w:val="00B359C9"/>
    <w:rsid w:val="00E06615"/>
    <w:rsid w:val="00E213CF"/>
    <w:rsid w:val="00F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97227-53C2-4CE0-88AC-95A2296E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2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29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2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29CC"/>
    <w:rPr>
      <w:sz w:val="20"/>
      <w:szCs w:val="20"/>
    </w:rPr>
  </w:style>
  <w:style w:type="character" w:styleId="a8">
    <w:name w:val="Hyperlink"/>
    <w:basedOn w:val="a0"/>
    <w:uiPriority w:val="99"/>
    <w:unhideWhenUsed/>
    <w:rsid w:val="00446921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F83E4D"/>
    <w:rPr>
      <w:rFonts w:eastAsia="標楷體"/>
      <w:b/>
      <w:sz w:val="32"/>
    </w:rPr>
  </w:style>
  <w:style w:type="paragraph" w:styleId="2">
    <w:name w:val="toc 2"/>
    <w:basedOn w:val="a"/>
    <w:next w:val="a"/>
    <w:autoRedefine/>
    <w:uiPriority w:val="39"/>
    <w:unhideWhenUsed/>
    <w:rsid w:val="00446921"/>
    <w:pPr>
      <w:ind w:leftChars="200" w:left="480"/>
    </w:pPr>
    <w:rPr>
      <w:rFonts w:eastAsia="標楷體"/>
      <w:sz w:val="32"/>
    </w:rPr>
  </w:style>
  <w:style w:type="paragraph" w:styleId="3">
    <w:name w:val="toc 3"/>
    <w:basedOn w:val="a"/>
    <w:next w:val="a"/>
    <w:autoRedefine/>
    <w:uiPriority w:val="39"/>
    <w:unhideWhenUsed/>
    <w:rsid w:val="00446921"/>
    <w:pPr>
      <w:ind w:leftChars="400" w:left="960"/>
    </w:pPr>
    <w:rPr>
      <w:rFonts w:eastAsia="標楷體"/>
      <w:sz w:val="32"/>
    </w:rPr>
  </w:style>
  <w:style w:type="table" w:styleId="a9">
    <w:name w:val="Table Grid"/>
    <w:basedOn w:val="a1"/>
    <w:uiPriority w:val="39"/>
    <w:rsid w:val="0044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ecpv.com/zh-tw/investors/index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7EFE-8ABF-40CB-AC8D-2E91315E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李俊緯</dc:creator>
  <cp:keywords/>
  <dc:description/>
  <cp:lastModifiedBy>鄭媛元</cp:lastModifiedBy>
  <cp:revision>2</cp:revision>
  <dcterms:created xsi:type="dcterms:W3CDTF">2024-12-13T10:04:00Z</dcterms:created>
  <dcterms:modified xsi:type="dcterms:W3CDTF">2024-12-13T10:04:00Z</dcterms:modified>
</cp:coreProperties>
</file>